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70" w:type="dxa"/>
        <w:tblLook w:val="0000" w:firstRow="0" w:lastRow="0" w:firstColumn="0" w:lastColumn="0" w:noHBand="0" w:noVBand="0"/>
      </w:tblPr>
      <w:tblGrid>
        <w:gridCol w:w="4808"/>
        <w:gridCol w:w="4762"/>
      </w:tblGrid>
      <w:tr w:rsidR="009D3874">
        <w:tc>
          <w:tcPr>
            <w:tcW w:w="4502" w:type="dxa"/>
            <w:shd w:val="clear" w:color="auto" w:fill="auto"/>
          </w:tcPr>
          <w:p w:rsidR="009D3874" w:rsidRDefault="00122D38">
            <w:pPr>
              <w:jc w:val="center"/>
              <w:rPr>
                <w:b/>
                <w:sz w:val="16"/>
                <w:szCs w:val="1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19050" distR="0">
                  <wp:extent cx="533400" cy="628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28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D3874" w:rsidRDefault="009D3874">
            <w:pPr>
              <w:jc w:val="center"/>
              <w:rPr>
                <w:b/>
                <w:sz w:val="16"/>
                <w:szCs w:val="16"/>
              </w:rPr>
            </w:pPr>
          </w:p>
          <w:p w:rsidR="009D3874" w:rsidRDefault="00122D3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МИНИСТЕРСТВО ОБРАЗОВАНИЯ</w:t>
            </w:r>
          </w:p>
          <w:p w:rsidR="009D3874" w:rsidRDefault="00122D38"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ОРЕНБУРГСКОЙ ОБЛАСТИ</w:t>
            </w:r>
          </w:p>
          <w:p w:rsidR="009D3874" w:rsidRDefault="00122D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Постникова ул., д.27, Оренбург, 460000</w:t>
            </w:r>
          </w:p>
          <w:p w:rsidR="009D3874" w:rsidRDefault="00122D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телефон: (3532) 77-44-41;</w:t>
            </w:r>
          </w:p>
          <w:p w:rsidR="009D3874" w:rsidRDefault="00122D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телефакс: (3532) 77-95-36</w:t>
            </w:r>
          </w:p>
          <w:p w:rsidR="009D3874" w:rsidRDefault="00122D38">
            <w:pPr>
              <w:jc w:val="center"/>
            </w:pPr>
            <w:r>
              <w:rPr>
                <w:lang w:val="en-US"/>
              </w:rPr>
              <w:t>e</w:t>
            </w:r>
            <w:r>
              <w:t>-</w:t>
            </w:r>
            <w:r>
              <w:rPr>
                <w:lang w:val="en-US"/>
              </w:rPr>
              <w:t>mail</w:t>
            </w:r>
            <w:r>
              <w:t xml:space="preserve">: </w:t>
            </w:r>
            <w:hyperlink r:id="rId9">
              <w:r>
                <w:rPr>
                  <w:rStyle w:val="InternetLink"/>
                  <w:color w:val="00000A"/>
                  <w:lang w:val="en-US"/>
                </w:rPr>
                <w:t>minobr</w:t>
              </w:r>
              <w:r>
                <w:rPr>
                  <w:rStyle w:val="InternetLink"/>
                  <w:color w:val="00000A"/>
                </w:rPr>
                <w:t>@</w:t>
              </w:r>
              <w:r>
                <w:rPr>
                  <w:rStyle w:val="InternetLink"/>
                  <w:color w:val="00000A"/>
                  <w:lang w:val="en-US"/>
                </w:rPr>
                <w:t>mail</w:t>
              </w:r>
              <w:r>
                <w:rPr>
                  <w:rStyle w:val="InternetLink"/>
                  <w:color w:val="00000A"/>
                </w:rPr>
                <w:t>.</w:t>
              </w:r>
              <w:r>
                <w:rPr>
                  <w:rStyle w:val="InternetLink"/>
                  <w:color w:val="00000A"/>
                  <w:lang w:val="en-US"/>
                </w:rPr>
                <w:t>orb</w:t>
              </w:r>
              <w:r>
                <w:rPr>
                  <w:rStyle w:val="InternetLink"/>
                  <w:color w:val="00000A"/>
                </w:rPr>
                <w:t>.</w:t>
              </w:r>
              <w:proofErr w:type="spellStart"/>
              <w:r>
                <w:rPr>
                  <w:rStyle w:val="InternetLink"/>
                  <w:color w:val="00000A"/>
                  <w:lang w:val="en-US"/>
                </w:rPr>
                <w:t>ru</w:t>
              </w:r>
              <w:proofErr w:type="spellEnd"/>
            </w:hyperlink>
          </w:p>
          <w:p w:rsidR="009D3874" w:rsidRDefault="00122D38">
            <w:pPr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На  №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_______  от __________</w:t>
            </w:r>
          </w:p>
          <w:p w:rsidR="009D3874" w:rsidRDefault="009D3874">
            <w:pPr>
              <w:jc w:val="center"/>
            </w:pPr>
          </w:p>
        </w:tc>
        <w:tc>
          <w:tcPr>
            <w:tcW w:w="5067" w:type="dxa"/>
            <w:shd w:val="clear" w:color="auto" w:fill="auto"/>
            <w:vAlign w:val="center"/>
          </w:tcPr>
          <w:p w:rsidR="009D3874" w:rsidRDefault="009D3874">
            <w:pPr>
              <w:rPr>
                <w:sz w:val="28"/>
                <w:szCs w:val="28"/>
              </w:rPr>
            </w:pPr>
          </w:p>
          <w:p w:rsidR="009D3874" w:rsidRDefault="009D3874">
            <w:pPr>
              <w:rPr>
                <w:sz w:val="28"/>
                <w:szCs w:val="28"/>
              </w:rPr>
            </w:pPr>
          </w:p>
          <w:p w:rsidR="009D3874" w:rsidRDefault="009D3874">
            <w:pPr>
              <w:rPr>
                <w:sz w:val="28"/>
                <w:szCs w:val="28"/>
              </w:rPr>
            </w:pPr>
          </w:p>
          <w:p w:rsidR="009D3874" w:rsidRDefault="00122D3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Руководителям</w:t>
            </w:r>
          </w:p>
          <w:p w:rsidR="009D3874" w:rsidRDefault="00122D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муниципальных органов,</w:t>
            </w:r>
          </w:p>
          <w:p w:rsidR="009D3874" w:rsidRDefault="00122D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осуществляющих управление</w:t>
            </w:r>
          </w:p>
          <w:p w:rsidR="009D3874" w:rsidRDefault="00122D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сфере образования</w:t>
            </w:r>
          </w:p>
          <w:p w:rsidR="009D3874" w:rsidRDefault="009D3874">
            <w:pPr>
              <w:rPr>
                <w:sz w:val="28"/>
                <w:szCs w:val="28"/>
              </w:rPr>
            </w:pPr>
          </w:p>
          <w:p w:rsidR="009D3874" w:rsidRDefault="00122D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Руководителям образовательных организаций, подведомственных министерству образования</w:t>
            </w:r>
          </w:p>
          <w:p w:rsidR="009D3874" w:rsidRDefault="009D3874">
            <w:pPr>
              <w:rPr>
                <w:sz w:val="28"/>
                <w:szCs w:val="28"/>
              </w:rPr>
            </w:pPr>
          </w:p>
          <w:p w:rsidR="009D3874" w:rsidRDefault="00122D38">
            <w:pPr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  <w:u w:val="single"/>
              </w:rPr>
              <w:t>Эл.почтой</w:t>
            </w:r>
            <w:proofErr w:type="spellEnd"/>
          </w:p>
        </w:tc>
      </w:tr>
      <w:tr w:rsidR="009D3874">
        <w:tc>
          <w:tcPr>
            <w:tcW w:w="4502" w:type="dxa"/>
            <w:shd w:val="clear" w:color="auto" w:fill="auto"/>
          </w:tcPr>
          <w:p w:rsidR="009D3874" w:rsidRDefault="00122D38">
            <w:pPr>
              <w:pStyle w:val="a9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     </w:t>
            </w:r>
          </w:p>
          <w:p w:rsidR="009D3874" w:rsidRDefault="00122D38">
            <w:pPr>
              <w:pStyle w:val="a9"/>
            </w:pPr>
            <w:bookmarkStart w:id="1" w:name="__UnoMark__2896_447817095"/>
            <w:bookmarkEnd w:id="1"/>
            <w:r>
              <w:rPr>
                <w:rFonts w:ascii="Tahoma" w:hAnsi="Tahoma" w:cs="Tahoma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2915920" cy="215900"/>
                  <wp:effectExtent l="0" t="0" r="0" b="0"/>
                  <wp:docPr id="2" name="Imag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5920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7" w:type="dxa"/>
            <w:shd w:val="clear" w:color="auto" w:fill="auto"/>
            <w:vAlign w:val="center"/>
          </w:tcPr>
          <w:p w:rsidR="009D3874" w:rsidRDefault="009D3874">
            <w:pPr>
              <w:rPr>
                <w:sz w:val="28"/>
                <w:szCs w:val="28"/>
                <w:lang w:val="en-US"/>
              </w:rPr>
            </w:pPr>
          </w:p>
        </w:tc>
      </w:tr>
      <w:tr w:rsidR="009D3874">
        <w:tc>
          <w:tcPr>
            <w:tcW w:w="4502" w:type="dxa"/>
            <w:shd w:val="clear" w:color="auto" w:fill="auto"/>
          </w:tcPr>
          <w:p w:rsidR="009D3874" w:rsidRDefault="00122D38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 реализации права работников сферы образования на награждение в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2022 году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067" w:type="dxa"/>
            <w:shd w:val="clear" w:color="auto" w:fill="auto"/>
            <w:vAlign w:val="center"/>
          </w:tcPr>
          <w:p w:rsidR="009D3874" w:rsidRDefault="009D3874">
            <w:pPr>
              <w:rPr>
                <w:sz w:val="28"/>
                <w:szCs w:val="28"/>
              </w:rPr>
            </w:pPr>
          </w:p>
        </w:tc>
      </w:tr>
    </w:tbl>
    <w:p w:rsidR="009D3874" w:rsidRDefault="00122D38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Уважаемые коллеги!</w:t>
      </w:r>
    </w:p>
    <w:p w:rsidR="009D3874" w:rsidRDefault="009D3874">
      <w:pPr>
        <w:spacing w:line="276" w:lineRule="auto"/>
        <w:ind w:firstLine="709"/>
        <w:jc w:val="both"/>
        <w:rPr>
          <w:sz w:val="28"/>
          <w:szCs w:val="28"/>
        </w:rPr>
      </w:pPr>
    </w:p>
    <w:p w:rsidR="009D3874" w:rsidRDefault="00122D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совершенствования работы по награждению работников образовательных организаций в Оренбургской области направляем:</w:t>
      </w:r>
    </w:p>
    <w:p w:rsidR="009D3874" w:rsidRDefault="00122D38">
      <w:pPr>
        <w:widowControl w:val="0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наименование нормативных документов</w:t>
      </w:r>
      <w:r>
        <w:rPr>
          <w:sz w:val="28"/>
          <w:szCs w:val="28"/>
        </w:rPr>
        <w:t>, в соответствии с которыми производится награждение и перечень д</w:t>
      </w:r>
      <w:r>
        <w:rPr>
          <w:sz w:val="28"/>
          <w:szCs w:val="28"/>
        </w:rPr>
        <w:t>окументов, представляемых в министерство образования для оформления наград (приложение № 1);</w:t>
      </w:r>
    </w:p>
    <w:p w:rsidR="009D3874" w:rsidRDefault="00122D38">
      <w:pPr>
        <w:widowControl w:val="0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методические рекомендации</w:t>
      </w:r>
      <w:r>
        <w:rPr>
          <w:sz w:val="28"/>
          <w:szCs w:val="28"/>
        </w:rPr>
        <w:t xml:space="preserve"> по оформлению документов на награждение ведомственными наградами в соответствии с приказом </w:t>
      </w:r>
      <w:proofErr w:type="spellStart"/>
      <w:r>
        <w:rPr>
          <w:sz w:val="28"/>
          <w:szCs w:val="28"/>
        </w:rPr>
        <w:t>Минпросвещения</w:t>
      </w:r>
      <w:proofErr w:type="spellEnd"/>
      <w:r>
        <w:rPr>
          <w:sz w:val="28"/>
          <w:szCs w:val="28"/>
        </w:rPr>
        <w:t xml:space="preserve"> РФ от 09.01.2019 № 1 «О ведомст</w:t>
      </w:r>
      <w:r>
        <w:rPr>
          <w:sz w:val="28"/>
          <w:szCs w:val="28"/>
        </w:rPr>
        <w:t>венных наградах Министерства просвещения Российской Федерации» (приложение № 2).</w:t>
      </w:r>
    </w:p>
    <w:p w:rsidR="009D3874" w:rsidRDefault="00122D38">
      <w:pPr>
        <w:pStyle w:val="ConsPlusTitle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Обращаем внимание, что в соответствии с приказом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Минпросвещения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РФ от 10.01.2019 № 5 «О</w:t>
      </w:r>
      <w: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ведомственном знаке отличия Министерства просвещения Российской Федерации, который явля</w:t>
      </w:r>
      <w:r>
        <w:rPr>
          <w:rFonts w:ascii="Times New Roman" w:hAnsi="Times New Roman" w:cs="Times New Roman"/>
          <w:b w:val="0"/>
          <w:sz w:val="28"/>
          <w:szCs w:val="28"/>
        </w:rPr>
        <w:t>ется единственной специальной ведомственной наградой, дающей право на присвоение звания «Ветеран труда», ведомственные награды любого ведомства (федерального министерства), оформленные до 01.07.2016, являются основанием для присвоения звания «Ветеран труда</w:t>
      </w:r>
      <w:r>
        <w:rPr>
          <w:rFonts w:ascii="Times New Roman" w:hAnsi="Times New Roman" w:cs="Times New Roman"/>
          <w:b w:val="0"/>
          <w:sz w:val="28"/>
          <w:szCs w:val="28"/>
        </w:rPr>
        <w:t>».</w:t>
      </w:r>
    </w:p>
    <w:p w:rsidR="009D3874" w:rsidRDefault="00122D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Прием наградных материалов в 2022 году будет осуществляться в соответствии с </w:t>
      </w:r>
      <w:r>
        <w:rPr>
          <w:b/>
          <w:sz w:val="28"/>
          <w:szCs w:val="28"/>
        </w:rPr>
        <w:t xml:space="preserve">квотой на награждение </w:t>
      </w:r>
      <w:r>
        <w:rPr>
          <w:sz w:val="28"/>
          <w:szCs w:val="28"/>
        </w:rPr>
        <w:t xml:space="preserve">ведомственными и государственными наградами работников системы образования области (приложение № 3) и </w:t>
      </w:r>
      <w:r>
        <w:rPr>
          <w:b/>
          <w:sz w:val="28"/>
          <w:szCs w:val="28"/>
        </w:rPr>
        <w:t xml:space="preserve">в установленные сроки </w:t>
      </w:r>
      <w:r>
        <w:rPr>
          <w:sz w:val="28"/>
          <w:szCs w:val="28"/>
        </w:rPr>
        <w:t>(приложение № 4).</w:t>
      </w:r>
    </w:p>
    <w:p w:rsidR="009D3874" w:rsidRDefault="00122D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Руководителям общеобразовательных организаций, организаций дополнительного образования, профессиональных образовательных организаций, специальных (коррекционных) школ и </w:t>
      </w:r>
      <w:proofErr w:type="spellStart"/>
      <w:r>
        <w:rPr>
          <w:sz w:val="28"/>
          <w:szCs w:val="28"/>
        </w:rPr>
        <w:t>интернатных</w:t>
      </w:r>
      <w:proofErr w:type="spellEnd"/>
      <w:r>
        <w:rPr>
          <w:sz w:val="28"/>
          <w:szCs w:val="28"/>
        </w:rPr>
        <w:t xml:space="preserve"> учреждений, подведомственных министерству образования Оренбургской области,</w:t>
      </w:r>
      <w:r>
        <w:rPr>
          <w:sz w:val="28"/>
          <w:szCs w:val="28"/>
        </w:rPr>
        <w:t xml:space="preserve"> можно </w:t>
      </w:r>
      <w:r>
        <w:rPr>
          <w:sz w:val="28"/>
          <w:szCs w:val="28"/>
        </w:rPr>
        <w:lastRenderedPageBreak/>
        <w:t>представлять наградные материалы в сроки, обозначенные в приложении № 4 на не менее чем 1 кандидата (квота может быть увеличена).</w:t>
      </w:r>
    </w:p>
    <w:p w:rsidR="009D3874" w:rsidRDefault="00122D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Просим довести данную информацию до сведения работников подведомственных образовательных организаций и обеспечить работ</w:t>
      </w:r>
      <w:r>
        <w:rPr>
          <w:sz w:val="28"/>
          <w:szCs w:val="28"/>
        </w:rPr>
        <w:t xml:space="preserve">у по представлению наградных материалов в установленные сроки. </w:t>
      </w:r>
    </w:p>
    <w:p w:rsidR="009D3874" w:rsidRDefault="00122D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Дополнительную информацию об оформлении наградных документов можно получить по телефону: 8(3532) 342628 – </w:t>
      </w:r>
      <w:proofErr w:type="spellStart"/>
      <w:r>
        <w:rPr>
          <w:sz w:val="28"/>
          <w:szCs w:val="28"/>
        </w:rPr>
        <w:t>Холеева</w:t>
      </w:r>
      <w:proofErr w:type="spellEnd"/>
      <w:r>
        <w:rPr>
          <w:sz w:val="28"/>
          <w:szCs w:val="28"/>
        </w:rPr>
        <w:t xml:space="preserve"> Елена Александровна, главный специалист отдела общего и дошкольного образовани</w:t>
      </w:r>
      <w:r>
        <w:rPr>
          <w:sz w:val="28"/>
          <w:szCs w:val="28"/>
        </w:rPr>
        <w:t>я.</w:t>
      </w:r>
    </w:p>
    <w:p w:rsidR="009D3874" w:rsidRDefault="009D3874">
      <w:pPr>
        <w:ind w:firstLine="567"/>
        <w:jc w:val="both"/>
        <w:rPr>
          <w:sz w:val="28"/>
          <w:szCs w:val="28"/>
        </w:rPr>
      </w:pPr>
    </w:p>
    <w:p w:rsidR="009D3874" w:rsidRDefault="00122D38">
      <w:pPr>
        <w:jc w:val="both"/>
        <w:rPr>
          <w:sz w:val="28"/>
          <w:szCs w:val="28"/>
        </w:rPr>
      </w:pPr>
      <w:r>
        <w:rPr>
          <w:sz w:val="28"/>
          <w:szCs w:val="28"/>
        </w:rPr>
        <w:t>Приложение: на 35 л. в 1 экз.</w:t>
      </w:r>
    </w:p>
    <w:p w:rsidR="009D3874" w:rsidRDefault="009D3874">
      <w:pPr>
        <w:spacing w:line="276" w:lineRule="auto"/>
        <w:ind w:firstLine="567"/>
        <w:jc w:val="both"/>
        <w:rPr>
          <w:sz w:val="28"/>
          <w:szCs w:val="28"/>
        </w:rPr>
      </w:pPr>
    </w:p>
    <w:p w:rsidR="009D3874" w:rsidRDefault="009D3874">
      <w:pPr>
        <w:jc w:val="center"/>
        <w:rPr>
          <w:bCs/>
          <w:iCs/>
          <w:sz w:val="10"/>
          <w:szCs w:val="10"/>
        </w:rPr>
      </w:pPr>
    </w:p>
    <w:p w:rsidR="009D3874" w:rsidRDefault="009D3874">
      <w:pPr>
        <w:jc w:val="center"/>
        <w:rPr>
          <w:bCs/>
          <w:iCs/>
          <w:sz w:val="10"/>
          <w:szCs w:val="10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6771"/>
        <w:gridCol w:w="3260"/>
      </w:tblGrid>
      <w:tr w:rsidR="009D3874">
        <w:tc>
          <w:tcPr>
            <w:tcW w:w="6770" w:type="dxa"/>
            <w:shd w:val="clear" w:color="auto" w:fill="auto"/>
          </w:tcPr>
          <w:p w:rsidR="009D3874" w:rsidRDefault="00122D38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 заместитель министра</w:t>
            </w:r>
          </w:p>
        </w:tc>
        <w:tc>
          <w:tcPr>
            <w:tcW w:w="3260" w:type="dxa"/>
            <w:shd w:val="clear" w:color="auto" w:fill="auto"/>
          </w:tcPr>
          <w:p w:rsidR="009D3874" w:rsidRDefault="00122D38">
            <w:pPr>
              <w:spacing w:line="360" w:lineRule="auto"/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Н.А.Гордеева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9D3874" w:rsidRDefault="009D3874">
      <w:pPr>
        <w:pStyle w:val="a9"/>
        <w:spacing w:after="0" w:line="360" w:lineRule="auto"/>
        <w:rPr>
          <w:sz w:val="28"/>
          <w:szCs w:val="28"/>
        </w:rPr>
      </w:pPr>
    </w:p>
    <w:p w:rsidR="009D3874" w:rsidRDefault="00122D38">
      <w:pPr>
        <w:pStyle w:val="a9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                                          </w:t>
      </w:r>
      <w:r>
        <w:rPr>
          <w:rFonts w:ascii="Tahoma" w:hAnsi="Tahoma" w:cs="Tahoma"/>
          <w:noProof/>
          <w:sz w:val="16"/>
          <w:szCs w:val="16"/>
          <w:lang w:eastAsia="ru-RU"/>
        </w:rPr>
        <w:drawing>
          <wp:inline distT="0" distB="0" distL="0" distR="0">
            <wp:extent cx="3599815" cy="1436370"/>
            <wp:effectExtent l="0" t="0" r="0" b="0"/>
            <wp:docPr id="3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9815" cy="1436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2" w:name="__UnoMark__2894_447817095"/>
      <w:bookmarkEnd w:id="2"/>
      <w:r>
        <w:rPr>
          <w:rFonts w:ascii="Tahoma" w:hAnsi="Tahoma" w:cs="Tahoma"/>
          <w:sz w:val="16"/>
          <w:szCs w:val="16"/>
        </w:rPr>
        <w:t xml:space="preserve">                                                       </w:t>
      </w:r>
    </w:p>
    <w:p w:rsidR="009D3874" w:rsidRDefault="009D3874">
      <w:pPr>
        <w:pStyle w:val="a9"/>
        <w:rPr>
          <w:rFonts w:ascii="Tahoma" w:hAnsi="Tahoma" w:cs="Tahoma"/>
          <w:sz w:val="16"/>
          <w:szCs w:val="16"/>
        </w:rPr>
      </w:pPr>
    </w:p>
    <w:p w:rsidR="009D3874" w:rsidRDefault="009D3874">
      <w:pPr>
        <w:pStyle w:val="a9"/>
        <w:rPr>
          <w:rFonts w:ascii="Tahoma" w:hAnsi="Tahoma" w:cs="Tahoma"/>
          <w:sz w:val="16"/>
          <w:szCs w:val="16"/>
        </w:rPr>
      </w:pPr>
    </w:p>
    <w:p w:rsidR="009D3874" w:rsidRDefault="009D3874">
      <w:pPr>
        <w:pStyle w:val="a9"/>
      </w:pPr>
    </w:p>
    <w:sectPr w:rsidR="009D3874">
      <w:footerReference w:type="default" r:id="rId12"/>
      <w:pgSz w:w="11906" w:h="16838"/>
      <w:pgMar w:top="851" w:right="567" w:bottom="766" w:left="1418" w:header="0" w:footer="709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122D38">
      <w:r>
        <w:separator/>
      </w:r>
    </w:p>
  </w:endnote>
  <w:endnote w:type="continuationSeparator" w:id="0">
    <w:p w:rsidR="00000000" w:rsidRDefault="00122D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Liberation Sans">
    <w:altName w:val="Arial"/>
    <w:charset w:val="01"/>
    <w:family w:val="swiss"/>
    <w:pitch w:val="variable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3874" w:rsidRDefault="00122D38">
    <w:pPr>
      <w:pStyle w:val="af1"/>
    </w:pPr>
    <w:proofErr w:type="spellStart"/>
    <w:r>
      <w:t>Холеева</w:t>
    </w:r>
    <w:proofErr w:type="spellEnd"/>
    <w:r>
      <w:t xml:space="preserve"> Е.А. 8(3532)342628 </w:t>
    </w:r>
    <w:proofErr w:type="spellStart"/>
    <w:r>
      <w:rPr>
        <w:lang w:val="en-US"/>
      </w:rPr>
      <w:t>eaho</w:t>
    </w:r>
    <w:proofErr w:type="spellEnd"/>
    <w:r>
      <w:t>@</w:t>
    </w:r>
    <w:r>
      <w:rPr>
        <w:lang w:val="en-US"/>
      </w:rPr>
      <w:t>mail</w:t>
    </w:r>
    <w:r>
      <w:t>.</w:t>
    </w:r>
    <w:r>
      <w:rPr>
        <w:lang w:val="en-US"/>
      </w:rPr>
      <w:t>orb</w:t>
    </w:r>
    <w:r>
      <w:t>.</w:t>
    </w:r>
    <w:proofErr w:type="spellStart"/>
    <w:r>
      <w:rPr>
        <w:lang w:val="en-US"/>
      </w:rPr>
      <w:t>ru</w:t>
    </w:r>
    <w:proofErr w:type="spellEnd"/>
  </w:p>
  <w:p w:rsidR="009D3874" w:rsidRDefault="009D3874">
    <w:pPr>
      <w:pStyle w:val="af1"/>
    </w:pPr>
  </w:p>
  <w:p w:rsidR="009D3874" w:rsidRDefault="009D3874">
    <w:pPr>
      <w:pStyle w:val="af1"/>
    </w:pPr>
  </w:p>
  <w:p w:rsidR="009D3874" w:rsidRDefault="009D3874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122D38">
      <w:r>
        <w:separator/>
      </w:r>
    </w:p>
  </w:footnote>
  <w:footnote w:type="continuationSeparator" w:id="0">
    <w:p w:rsidR="00000000" w:rsidRDefault="00122D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5A0611"/>
    <w:multiLevelType w:val="multilevel"/>
    <w:tmpl w:val="EFE6D6F4"/>
    <w:lvl w:ilvl="0">
      <w:start w:val="1"/>
      <w:numFmt w:val="decimal"/>
      <w:lvlText w:val="%1)"/>
      <w:lvlJc w:val="left"/>
      <w:pPr>
        <w:ind w:left="1422" w:hanging="855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F68337F"/>
    <w:multiLevelType w:val="multilevel"/>
    <w:tmpl w:val="9EAE16A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874"/>
    <w:rsid w:val="00122D38"/>
    <w:rsid w:val="009D3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7E3A83-707F-4A4A-A193-861E337AE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00C4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uiPriority w:val="9"/>
    <w:unhideWhenUsed/>
    <w:qFormat/>
    <w:rsid w:val="00EA610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Знак"/>
    <w:uiPriority w:val="99"/>
    <w:qFormat/>
    <w:rsid w:val="008D00C4"/>
    <w:rPr>
      <w:rFonts w:ascii="Calibri" w:eastAsia="Calibri" w:hAnsi="Calibri" w:cs="Times New Roman"/>
      <w:szCs w:val="21"/>
    </w:rPr>
  </w:style>
  <w:style w:type="character" w:customStyle="1" w:styleId="a4">
    <w:name w:val="Текст выноски Знак"/>
    <w:uiPriority w:val="99"/>
    <w:semiHidden/>
    <w:qFormat/>
    <w:rsid w:val="008D00C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InternetLink">
    <w:name w:val="Internet Link"/>
    <w:uiPriority w:val="99"/>
    <w:unhideWhenUsed/>
    <w:rsid w:val="00282216"/>
    <w:rPr>
      <w:color w:val="0000FF"/>
      <w:u w:val="single"/>
    </w:rPr>
  </w:style>
  <w:style w:type="character" w:customStyle="1" w:styleId="20">
    <w:name w:val="Заголовок 2 Знак"/>
    <w:link w:val="20"/>
    <w:uiPriority w:val="9"/>
    <w:qFormat/>
    <w:rsid w:val="00EA610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5">
    <w:name w:val="Основной текст Знак"/>
    <w:qFormat/>
    <w:rsid w:val="00251439"/>
    <w:rPr>
      <w:rFonts w:ascii="Arial" w:eastAsia="Lucida Sans Unicode" w:hAnsi="Arial"/>
      <w:szCs w:val="24"/>
      <w:lang w:eastAsia="en-US"/>
    </w:rPr>
  </w:style>
  <w:style w:type="character" w:customStyle="1" w:styleId="a6">
    <w:name w:val="Основной текст с отступом Знак"/>
    <w:basedOn w:val="a0"/>
    <w:uiPriority w:val="99"/>
    <w:semiHidden/>
    <w:qFormat/>
    <w:rsid w:val="008E27D6"/>
    <w:rPr>
      <w:rFonts w:ascii="Times New Roman" w:eastAsia="Times New Roman" w:hAnsi="Times New Roman"/>
      <w:sz w:val="24"/>
      <w:szCs w:val="24"/>
    </w:rPr>
  </w:style>
  <w:style w:type="character" w:customStyle="1" w:styleId="gwt-inlinelabel">
    <w:name w:val="gwt-inlinelabel"/>
    <w:basedOn w:val="a0"/>
    <w:qFormat/>
    <w:rsid w:val="00DE1072"/>
  </w:style>
  <w:style w:type="character" w:customStyle="1" w:styleId="a7">
    <w:name w:val="Верхний колонтитул Знак"/>
    <w:basedOn w:val="a0"/>
    <w:uiPriority w:val="99"/>
    <w:qFormat/>
    <w:rsid w:val="00D36372"/>
    <w:rPr>
      <w:rFonts w:ascii="Times New Roman" w:eastAsia="Times New Roman" w:hAnsi="Times New Roman"/>
      <w:sz w:val="24"/>
      <w:szCs w:val="24"/>
    </w:rPr>
  </w:style>
  <w:style w:type="character" w:customStyle="1" w:styleId="a8">
    <w:name w:val="Нижний колонтитул Знак"/>
    <w:basedOn w:val="a0"/>
    <w:uiPriority w:val="99"/>
    <w:qFormat/>
    <w:rsid w:val="00D36372"/>
    <w:rPr>
      <w:rFonts w:ascii="Times New Roman" w:eastAsia="Times New Roman" w:hAnsi="Times New Roman"/>
      <w:sz w:val="24"/>
      <w:szCs w:val="24"/>
    </w:rPr>
  </w:style>
  <w:style w:type="paragraph" w:customStyle="1" w:styleId="Heading">
    <w:name w:val="Heading"/>
    <w:basedOn w:val="a"/>
    <w:next w:val="a9"/>
    <w:qFormat/>
    <w:pPr>
      <w:keepNext/>
      <w:spacing w:before="240" w:after="120"/>
    </w:pPr>
    <w:rPr>
      <w:rFonts w:ascii="Liberation Sans" w:eastAsia="Lucida Sans Unicode" w:hAnsi="Liberation Sans" w:cs="Nirmala UI"/>
      <w:sz w:val="28"/>
      <w:szCs w:val="28"/>
    </w:rPr>
  </w:style>
  <w:style w:type="paragraph" w:styleId="a9">
    <w:name w:val="Body Text"/>
    <w:basedOn w:val="a"/>
    <w:rsid w:val="00251439"/>
    <w:pPr>
      <w:widowControl w:val="0"/>
      <w:suppressAutoHyphens/>
      <w:spacing w:after="120"/>
    </w:pPr>
    <w:rPr>
      <w:rFonts w:ascii="Arial" w:eastAsia="Lucida Sans Unicode" w:hAnsi="Arial"/>
      <w:sz w:val="20"/>
      <w:lang w:eastAsia="en-US"/>
    </w:rPr>
  </w:style>
  <w:style w:type="paragraph" w:styleId="aa">
    <w:name w:val="List"/>
    <w:basedOn w:val="a9"/>
    <w:rPr>
      <w:rFonts w:cs="Nirmala UI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Nirmala UI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Nirmala UI"/>
    </w:rPr>
  </w:style>
  <w:style w:type="paragraph" w:styleId="ac">
    <w:name w:val="Plain Text"/>
    <w:basedOn w:val="a"/>
    <w:uiPriority w:val="99"/>
    <w:unhideWhenUsed/>
    <w:qFormat/>
    <w:rsid w:val="008D00C4"/>
    <w:rPr>
      <w:rFonts w:ascii="Calibri" w:eastAsia="Calibri" w:hAnsi="Calibri"/>
      <w:sz w:val="20"/>
      <w:szCs w:val="21"/>
    </w:rPr>
  </w:style>
  <w:style w:type="paragraph" w:styleId="ad">
    <w:name w:val="Balloon Text"/>
    <w:basedOn w:val="a"/>
    <w:uiPriority w:val="99"/>
    <w:semiHidden/>
    <w:unhideWhenUsed/>
    <w:qFormat/>
    <w:rsid w:val="008D00C4"/>
    <w:rPr>
      <w:rFonts w:ascii="Tahoma" w:hAnsi="Tahoma"/>
      <w:sz w:val="16"/>
      <w:szCs w:val="16"/>
    </w:rPr>
  </w:style>
  <w:style w:type="paragraph" w:styleId="ae">
    <w:name w:val="Normal (Web)"/>
    <w:basedOn w:val="a"/>
    <w:uiPriority w:val="99"/>
    <w:unhideWhenUsed/>
    <w:qFormat/>
    <w:rsid w:val="00CC0AB9"/>
  </w:style>
  <w:style w:type="paragraph" w:styleId="af">
    <w:name w:val="Body Text Indent"/>
    <w:basedOn w:val="a"/>
    <w:uiPriority w:val="99"/>
    <w:semiHidden/>
    <w:unhideWhenUsed/>
    <w:rsid w:val="008E27D6"/>
    <w:pPr>
      <w:spacing w:after="120"/>
      <w:ind w:left="283"/>
    </w:pPr>
  </w:style>
  <w:style w:type="paragraph" w:styleId="af0">
    <w:name w:val="header"/>
    <w:basedOn w:val="a"/>
    <w:uiPriority w:val="99"/>
    <w:unhideWhenUsed/>
    <w:rsid w:val="00D36372"/>
    <w:pPr>
      <w:tabs>
        <w:tab w:val="center" w:pos="4677"/>
        <w:tab w:val="right" w:pos="9355"/>
      </w:tabs>
    </w:pPr>
  </w:style>
  <w:style w:type="paragraph" w:styleId="af1">
    <w:name w:val="footer"/>
    <w:basedOn w:val="a"/>
    <w:uiPriority w:val="99"/>
    <w:unhideWhenUsed/>
    <w:rsid w:val="00D36372"/>
    <w:pPr>
      <w:tabs>
        <w:tab w:val="center" w:pos="4677"/>
        <w:tab w:val="right" w:pos="9355"/>
      </w:tabs>
    </w:pPr>
  </w:style>
  <w:style w:type="paragraph" w:styleId="af2">
    <w:name w:val="List Paragraph"/>
    <w:basedOn w:val="a"/>
    <w:uiPriority w:val="34"/>
    <w:qFormat/>
    <w:rsid w:val="005C6240"/>
    <w:pPr>
      <w:ind w:left="720"/>
    </w:pPr>
    <w:rPr>
      <w:sz w:val="20"/>
      <w:szCs w:val="20"/>
    </w:rPr>
  </w:style>
  <w:style w:type="paragraph" w:styleId="af3">
    <w:name w:val="No Spacing"/>
    <w:uiPriority w:val="1"/>
    <w:qFormat/>
    <w:rsid w:val="00C26448"/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qFormat/>
    <w:rsid w:val="001E323F"/>
    <w:pPr>
      <w:widowControl w:val="0"/>
    </w:pPr>
    <w:rPr>
      <w:rFonts w:eastAsia="Times New Roman" w:cs="Calibri"/>
      <w:b/>
      <w:sz w:val="22"/>
    </w:rPr>
  </w:style>
  <w:style w:type="table" w:styleId="af4">
    <w:name w:val="Table Grid"/>
    <w:basedOn w:val="a1"/>
    <w:uiPriority w:val="59"/>
    <w:rsid w:val="002E0CBA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minobr@mail.orb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9DF399-0E33-4E37-98EB-31B65E2B1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Е. Иванов</dc:creator>
  <dc:description/>
  <cp:lastModifiedBy>Харина Юлия</cp:lastModifiedBy>
  <cp:revision>2</cp:revision>
  <cp:lastPrinted>2022-02-07T06:58:00Z</cp:lastPrinted>
  <dcterms:created xsi:type="dcterms:W3CDTF">2022-02-08T06:34:00Z</dcterms:created>
  <dcterms:modified xsi:type="dcterms:W3CDTF">2022-02-08T06:34:00Z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